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E906E" w14:textId="7BF95FD7" w:rsidR="00BA787D" w:rsidRPr="006E7343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SA3#</w:t>
      </w:r>
      <w:r>
        <w:rPr>
          <w:b/>
          <w:noProof/>
          <w:sz w:val="24"/>
          <w:lang w:val="it-IT"/>
        </w:rPr>
        <w:t>95</w:t>
      </w:r>
      <w:r w:rsidR="001540A2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233CEB">
        <w:rPr>
          <w:b/>
          <w:i/>
          <w:noProof/>
          <w:sz w:val="28"/>
          <w:lang w:val="it-IT"/>
        </w:rPr>
        <w:t>613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5B11AD40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74EB0EAA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like to inform that if such an architecture </w:t>
      </w:r>
      <w:r w:rsidR="00864E7B">
        <w:rPr>
          <w:rFonts w:ascii="Arial" w:eastAsia="DengXian" w:hAnsi="Arial"/>
          <w:lang w:val="en-US" w:eastAsia="zh-CN"/>
        </w:rPr>
        <w:t xml:space="preserve">is </w:t>
      </w:r>
      <w:r w:rsidR="002A249A">
        <w:rPr>
          <w:rFonts w:ascii="Arial" w:eastAsia="DengXian" w:hAnsi="Arial"/>
          <w:lang w:val="en-US" w:eastAsia="zh-CN"/>
        </w:rPr>
        <w:t>pursued, then</w:t>
      </w:r>
      <w:r>
        <w:rPr>
          <w:rFonts w:ascii="Arial" w:eastAsia="DengXian" w:hAnsi="Arial"/>
          <w:lang w:val="en-US" w:eastAsia="zh-CN"/>
        </w:rPr>
        <w:t xml:space="preserve"> the LI specifications for IMS LI will have to be updated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62E7EC7F" w14:textId="1D01D41F" w:rsidR="00B24886" w:rsidRDefault="00B17E7D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Within the IMS LI, the media interception is performed by an LI specific function (known as CC-POI) within the IMS-AGW triggered by an LI specific function (known as CC-TF) present in the P-CSCF. If the IMS-AGW changes mid-session, then the CC-TF will have to trigger the CC-POI present in the new IMS-AGW to continue with the media interception. </w:t>
      </w:r>
    </w:p>
    <w:p w14:paraId="3FCC1666" w14:textId="27FA9303" w:rsidR="006D40F8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such a trigger can be sent as long as P-CSCF is aware of the IMS-AGW change in real time. </w:t>
      </w:r>
      <w:r w:rsidR="006D40F8">
        <w:rPr>
          <w:rFonts w:ascii="Arial" w:eastAsia="DengXian" w:hAnsi="Arial"/>
          <w:lang w:val="en-US" w:eastAsia="zh-CN"/>
        </w:rPr>
        <w:t xml:space="preserve">SA3-LI </w:t>
      </w:r>
      <w:r>
        <w:rPr>
          <w:rFonts w:ascii="Arial" w:eastAsia="DengXian" w:hAnsi="Arial"/>
          <w:lang w:val="en-US" w:eastAsia="zh-CN"/>
        </w:rPr>
        <w:t xml:space="preserve">further </w:t>
      </w:r>
      <w:r w:rsidR="006D40F8">
        <w:rPr>
          <w:rFonts w:ascii="Arial" w:eastAsia="DengXian" w:hAnsi="Arial"/>
          <w:lang w:val="en-US" w:eastAsia="zh-CN"/>
        </w:rPr>
        <w:t>believes no LI specific considerations have to be taken for this architecture</w:t>
      </w:r>
      <w:r>
        <w:rPr>
          <w:rFonts w:ascii="Arial" w:eastAsia="DengXian" w:hAnsi="Arial"/>
          <w:lang w:val="en-US" w:eastAsia="zh-CN"/>
        </w:rPr>
        <w:t xml:space="preserve"> by SA2</w:t>
      </w:r>
      <w:r w:rsidR="006D40F8">
        <w:rPr>
          <w:rFonts w:ascii="Arial" w:eastAsia="DengXian" w:hAnsi="Arial"/>
          <w:lang w:val="en-US" w:eastAsia="zh-CN"/>
        </w:rPr>
        <w:t xml:space="preserve">. </w:t>
      </w:r>
      <w:r w:rsidR="00B24886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413EAF29" w14:textId="6D2F3C62" w:rsidR="00112ACC" w:rsidRDefault="006D40F8" w:rsidP="006D40F8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 xml:space="preserve">the LI specifications for IMS LI will have to be enhanced to support an LI specific interface (known as LI_T3) from the CC-TF in P-CSCF to the CC-POI in the I-UPF onboard the satellite. </w:t>
      </w:r>
      <w:r w:rsidR="00112ACC">
        <w:rPr>
          <w:rFonts w:ascii="Arial" w:eastAsia="DengXian" w:hAnsi="Arial"/>
          <w:lang w:val="en-US" w:eastAsia="zh-CN"/>
        </w:rPr>
        <w:t xml:space="preserve">In addition, the trigger should be able to help the CC-POI in the I-UPF to identify the packets that need to be intercepted. SA3-LI believes to support such an architecture, the following non-LI related changes will have to be made for all IMS sessions that </w:t>
      </w:r>
      <w:r w:rsidR="00864E7B">
        <w:rPr>
          <w:rFonts w:ascii="Arial" w:eastAsia="DengXian" w:hAnsi="Arial"/>
          <w:lang w:val="en-US" w:eastAsia="zh-CN"/>
        </w:rPr>
        <w:t xml:space="preserve">require the media interception to be done at </w:t>
      </w:r>
      <w:r w:rsidR="00112ACC">
        <w:rPr>
          <w:rFonts w:ascii="Arial" w:eastAsia="DengXian" w:hAnsi="Arial"/>
          <w:lang w:val="en-US" w:eastAsia="zh-CN"/>
        </w:rPr>
        <w:t xml:space="preserve">such </w:t>
      </w:r>
      <w:r w:rsidR="002A249A">
        <w:rPr>
          <w:rFonts w:ascii="Arial" w:eastAsia="DengXian" w:hAnsi="Arial"/>
          <w:lang w:val="en-US" w:eastAsia="zh-CN"/>
        </w:rPr>
        <w:t xml:space="preserve">an </w:t>
      </w:r>
      <w:r w:rsidR="00112ACC">
        <w:rPr>
          <w:rFonts w:ascii="Arial" w:eastAsia="DengXian" w:hAnsi="Arial"/>
          <w:lang w:val="en-US" w:eastAsia="zh-CN"/>
        </w:rPr>
        <w:t xml:space="preserve">I-UPF: </w:t>
      </w:r>
    </w:p>
    <w:p w14:paraId="3FEA6283" w14:textId="0ADC3FF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I-UPF that has the CC-POI. For this I-UPF address (e.g. IP address) should be made available to the P-CSCF. </w:t>
      </w:r>
    </w:p>
    <w:p w14:paraId="0CFD8602" w14:textId="3C7358E0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should be made available to the P-CSCF. </w:t>
      </w:r>
      <w:r w:rsidR="002A249A">
        <w:rPr>
          <w:lang w:val="en-US" w:eastAsia="zh-CN"/>
        </w:rPr>
        <w:t xml:space="preserve">If a point-to-point tunnel is used (e.g. on N6), then the UDP port number along with the IP address of the I-UPF shall be made available to the P-CSCF. </w:t>
      </w:r>
    </w:p>
    <w:p w14:paraId="761C4A6C" w14:textId="4EE56E88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should be available. </w:t>
      </w:r>
    </w:p>
    <w:p w14:paraId="41EDD765" w14:textId="482C7968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</w:t>
      </w:r>
      <w:r w:rsidR="005930E8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should be made available to the P-CSCF. </w:t>
      </w:r>
    </w:p>
    <w:p w14:paraId="234FF594" w14:textId="74107AFC" w:rsidR="00112ACC" w:rsidRDefault="00112ACC" w:rsidP="00112ACC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SA3-LI believes that</w:t>
      </w:r>
      <w:r w:rsidR="00EC6E56">
        <w:rPr>
          <w:rFonts w:ascii="Arial" w:eastAsia="DengXian" w:hAnsi="Arial"/>
          <w:lang w:val="en-US" w:eastAsia="zh-CN"/>
        </w:rPr>
        <w:t xml:space="preserve"> </w:t>
      </w:r>
      <w:r w:rsidR="00484DAC">
        <w:rPr>
          <w:rFonts w:ascii="Arial" w:eastAsia="DengXian" w:hAnsi="Arial"/>
          <w:lang w:val="en-US" w:eastAsia="zh-CN"/>
        </w:rPr>
        <w:t xml:space="preserve">non-LI related </w:t>
      </w:r>
      <w:r w:rsidR="00EC6E56">
        <w:rPr>
          <w:rFonts w:ascii="Arial" w:eastAsia="DengXian" w:hAnsi="Arial"/>
          <w:lang w:val="en-US" w:eastAsia="zh-CN"/>
        </w:rPr>
        <w:t xml:space="preserve">enhancements </w:t>
      </w:r>
      <w:r w:rsidR="000E0CEC">
        <w:rPr>
          <w:rFonts w:ascii="Arial" w:eastAsia="DengXian" w:hAnsi="Arial"/>
          <w:lang w:val="en-US" w:eastAsia="zh-CN"/>
        </w:rPr>
        <w:t xml:space="preserve">may </w:t>
      </w:r>
      <w:r w:rsidR="00EC6E56">
        <w:rPr>
          <w:rFonts w:ascii="Arial" w:eastAsia="DengXian" w:hAnsi="Arial"/>
          <w:lang w:val="en-US" w:eastAsia="zh-CN"/>
        </w:rPr>
        <w:t xml:space="preserve">have to be made to the </w:t>
      </w:r>
      <w:r w:rsidR="00BE2398">
        <w:rPr>
          <w:rFonts w:ascii="Arial" w:eastAsia="DengXian" w:hAnsi="Arial"/>
          <w:lang w:val="en-US" w:eastAsia="zh-CN"/>
        </w:rPr>
        <w:t xml:space="preserve">RX (P-CSCF – PCF) </w:t>
      </w:r>
      <w:r w:rsidR="00EC6E56">
        <w:rPr>
          <w:rFonts w:ascii="Arial" w:eastAsia="DengXian" w:hAnsi="Arial"/>
          <w:lang w:val="en-US" w:eastAsia="zh-CN"/>
        </w:rPr>
        <w:t xml:space="preserve">and N7 </w:t>
      </w:r>
      <w:r w:rsidR="00BE2398">
        <w:rPr>
          <w:rFonts w:ascii="Arial" w:eastAsia="DengXian" w:hAnsi="Arial"/>
          <w:lang w:val="en-US" w:eastAsia="zh-CN"/>
        </w:rPr>
        <w:t xml:space="preserve">(PCF – SMF) </w:t>
      </w:r>
      <w:r w:rsidR="00EC6E56">
        <w:rPr>
          <w:rFonts w:ascii="Arial" w:eastAsia="DengXian" w:hAnsi="Arial"/>
          <w:lang w:val="en-US" w:eastAsia="zh-CN"/>
        </w:rPr>
        <w:t>interfaces</w:t>
      </w:r>
      <w:r w:rsidR="00484DAC">
        <w:rPr>
          <w:rFonts w:ascii="Arial" w:eastAsia="DengXian" w:hAnsi="Arial"/>
          <w:lang w:val="en-US" w:eastAsia="zh-CN"/>
        </w:rPr>
        <w:t xml:space="preserve">, and to </w:t>
      </w:r>
      <w:r w:rsidR="005930E8">
        <w:rPr>
          <w:rFonts w:ascii="Arial" w:eastAsia="DengXian" w:hAnsi="Arial"/>
          <w:lang w:val="en-US" w:eastAsia="zh-CN"/>
        </w:rPr>
        <w:t xml:space="preserve">the </w:t>
      </w:r>
      <w:r w:rsidR="00484DAC">
        <w:rPr>
          <w:rFonts w:ascii="Arial" w:eastAsia="DengXian" w:hAnsi="Arial"/>
          <w:lang w:val="en-US" w:eastAsia="zh-CN"/>
        </w:rPr>
        <w:t xml:space="preserve">SMF and </w:t>
      </w:r>
      <w:r w:rsidR="005930E8">
        <w:rPr>
          <w:rFonts w:ascii="Arial" w:eastAsia="DengXian" w:hAnsi="Arial"/>
          <w:lang w:val="en-US" w:eastAsia="zh-CN"/>
        </w:rPr>
        <w:t xml:space="preserve">the </w:t>
      </w:r>
      <w:r w:rsidR="00484DAC">
        <w:rPr>
          <w:rFonts w:ascii="Arial" w:eastAsia="DengXian" w:hAnsi="Arial"/>
          <w:lang w:val="en-US" w:eastAsia="zh-CN"/>
        </w:rPr>
        <w:t xml:space="preserve">PCF </w:t>
      </w:r>
      <w:r w:rsidR="00EC6E56">
        <w:rPr>
          <w:rFonts w:ascii="Arial" w:eastAsia="DengXian" w:hAnsi="Arial"/>
          <w:lang w:val="en-US" w:eastAsia="zh-CN"/>
        </w:rPr>
        <w:t xml:space="preserve">to </w:t>
      </w:r>
      <w:r w:rsidR="00484DAC">
        <w:rPr>
          <w:rFonts w:ascii="Arial" w:eastAsia="DengXian" w:hAnsi="Arial"/>
          <w:lang w:val="en-US" w:eastAsia="zh-CN"/>
        </w:rPr>
        <w:t xml:space="preserve">provide the </w:t>
      </w:r>
      <w:r w:rsidR="000E0CEC">
        <w:rPr>
          <w:rFonts w:ascii="Arial" w:eastAsia="DengXian" w:hAnsi="Arial"/>
          <w:lang w:val="en-US" w:eastAsia="zh-CN"/>
        </w:rPr>
        <w:t>above information</w:t>
      </w:r>
      <w:r w:rsidR="00484DAC">
        <w:rPr>
          <w:rFonts w:ascii="Arial" w:eastAsia="DengXian" w:hAnsi="Arial"/>
          <w:lang w:val="en-US" w:eastAsia="zh-CN"/>
        </w:rPr>
        <w:t xml:space="preserve"> to the P-CSCF</w:t>
      </w:r>
      <w:r w:rsidR="000E0CEC">
        <w:rPr>
          <w:rFonts w:ascii="Arial" w:eastAsia="DengXian" w:hAnsi="Arial"/>
          <w:lang w:val="en-US" w:eastAsia="zh-CN"/>
        </w:rPr>
        <w:t xml:space="preserve">. </w:t>
      </w:r>
      <w:r w:rsidR="00EC6E56">
        <w:rPr>
          <w:rFonts w:ascii="Arial" w:eastAsia="DengXian" w:hAnsi="Arial"/>
          <w:lang w:val="en-US" w:eastAsia="zh-CN"/>
        </w:rPr>
        <w:t xml:space="preserve">If a separate tunnel is used for each QoS flow, then tunnel ID </w:t>
      </w:r>
      <w:r w:rsidR="000E0CEC">
        <w:rPr>
          <w:rFonts w:ascii="Arial" w:eastAsia="DengXian" w:hAnsi="Arial"/>
          <w:lang w:val="en-US" w:eastAsia="zh-CN"/>
        </w:rPr>
        <w:t>along with its associated interface indication (N6 Vs N</w:t>
      </w:r>
      <w:r w:rsidR="005930E8">
        <w:rPr>
          <w:rFonts w:ascii="Arial" w:eastAsia="DengXian" w:hAnsi="Arial"/>
          <w:lang w:val="en-US" w:eastAsia="zh-CN"/>
        </w:rPr>
        <w:t>3</w:t>
      </w:r>
      <w:r w:rsidR="000E0CEC">
        <w:rPr>
          <w:rFonts w:ascii="Arial" w:eastAsia="DengXian" w:hAnsi="Arial"/>
          <w:lang w:val="en-US" w:eastAsia="zh-CN"/>
        </w:rPr>
        <w:t xml:space="preserve">) </w:t>
      </w:r>
      <w:r w:rsidR="00EC6E56">
        <w:rPr>
          <w:rFonts w:ascii="Arial" w:eastAsia="DengXian" w:hAnsi="Arial"/>
          <w:lang w:val="en-US" w:eastAsia="zh-CN"/>
        </w:rPr>
        <w:t xml:space="preserve">may be sufficient.  </w:t>
      </w:r>
    </w:p>
    <w:p w14:paraId="57188816" w14:textId="3496AA49" w:rsidR="00E9133F" w:rsidRDefault="002A249A" w:rsidP="002A249A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lastRenderedPageBreak/>
        <w:t xml:space="preserve">In addition, SA3-LI would like to point out that scenarios such as multi-party calls, conferencing, call forwarding may have further implications with I-UPF based media interception. </w:t>
      </w:r>
    </w:p>
    <w:p w14:paraId="2311A5E9" w14:textId="30494E72" w:rsidR="005930E8" w:rsidRDefault="005930E8" w:rsidP="002A249A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SA3-LI believes that the following depict the UE-Satellite-UE communication architecture where the media interception would be made at the I-UPF</w:t>
      </w:r>
      <w:r w:rsidR="00777C40">
        <w:rPr>
          <w:rFonts w:ascii="Arial" w:eastAsia="DengXian" w:hAnsi="Arial"/>
          <w:lang w:val="en-US" w:eastAsia="zh-CN"/>
        </w:rPr>
        <w:t>.</w:t>
      </w:r>
    </w:p>
    <w:p w14:paraId="75525AEF" w14:textId="4BA5745D" w:rsidR="005930E8" w:rsidRPr="005930E8" w:rsidRDefault="005930E8" w:rsidP="002A249A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5930E8">
        <w:rPr>
          <w:rFonts w:ascii="Arial" w:eastAsia="DengXian" w:hAnsi="Arial"/>
          <w:u w:val="single"/>
          <w:lang w:val="en-US" w:eastAsia="zh-CN"/>
        </w:rPr>
        <w:t xml:space="preserve">Signaling only (before the SDP offer and answer): </w:t>
      </w:r>
    </w:p>
    <w:p w14:paraId="4B0FD389" w14:textId="6BCFD243" w:rsidR="005930E8" w:rsidRDefault="005930E8" w:rsidP="002A249A">
      <w:pPr>
        <w:spacing w:after="120"/>
      </w:pPr>
      <w:r>
        <w:object w:dxaOrig="21660" w:dyaOrig="11910" w14:anchorId="7E06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271.2pt" o:ole="">
            <v:imagedata r:id="rId14" o:title=""/>
          </v:shape>
          <o:OLEObject Type="Embed" ProgID="Visio.Drawing.15" ShapeID="_x0000_i1025" DrawAspect="Content" ObjectID="_1790176270" r:id="rId15"/>
        </w:object>
      </w:r>
    </w:p>
    <w:p w14:paraId="3C978787" w14:textId="0744541F" w:rsidR="005930E8" w:rsidRDefault="005930E8" w:rsidP="002A249A">
      <w:pPr>
        <w:spacing w:after="120"/>
      </w:pPr>
      <w:r>
        <w:t xml:space="preserve">The blue </w:t>
      </w:r>
      <w:proofErr w:type="spellStart"/>
      <w:r>
        <w:t>colored</w:t>
      </w:r>
      <w:proofErr w:type="spellEnd"/>
      <w:r>
        <w:t xml:space="preserve"> boxes indicate the LI related</w:t>
      </w:r>
      <w:r w:rsidR="00777C40">
        <w:t xml:space="preserve"> functions are present in the respective NFs</w:t>
      </w:r>
      <w:r>
        <w:t xml:space="preserve">. </w:t>
      </w:r>
      <w:r w:rsidR="00777C40">
        <w:t xml:space="preserve">The LI capabilities </w:t>
      </w:r>
      <w:r>
        <w:t xml:space="preserve">are defined in TS 33.127 and TS 33.128. In the diagram, both UE (A) and UE (B) are the targets of interception. </w:t>
      </w:r>
    </w:p>
    <w:p w14:paraId="06C3F5D3" w14:textId="05474CB7" w:rsidR="005930E8" w:rsidRPr="005930E8" w:rsidRDefault="005930E8" w:rsidP="002A249A">
      <w:pPr>
        <w:spacing w:after="120"/>
        <w:rPr>
          <w:u w:val="single"/>
        </w:rPr>
      </w:pPr>
      <w:r w:rsidRPr="005930E8">
        <w:rPr>
          <w:u w:val="single"/>
        </w:rPr>
        <w:t>Media interception (after the SDP offer and answer)</w:t>
      </w:r>
    </w:p>
    <w:p w14:paraId="6B865FE1" w14:textId="32459655" w:rsidR="005930E8" w:rsidRPr="00E9133F" w:rsidRDefault="005930E8" w:rsidP="002A249A">
      <w:pPr>
        <w:spacing w:after="120"/>
      </w:pPr>
      <w:r>
        <w:object w:dxaOrig="21324" w:dyaOrig="12090" w14:anchorId="370EA6B7">
          <v:shape id="_x0000_i1026" type="#_x0000_t75" style="width:492.6pt;height:279pt" o:ole="">
            <v:imagedata r:id="rId16" o:title=""/>
          </v:shape>
          <o:OLEObject Type="Embed" ProgID="Visio.Drawing.15" ShapeID="_x0000_i1026" DrawAspect="Content" ObjectID="_1790176271" r:id="rId17"/>
        </w:object>
      </w:r>
    </w:p>
    <w:p w14:paraId="2800C604" w14:textId="7D1C457B" w:rsidR="005930E8" w:rsidRDefault="00777C40" w:rsidP="005930E8">
      <w:pPr>
        <w:spacing w:after="120"/>
      </w:pPr>
      <w:r>
        <w:t xml:space="preserve">The blue </w:t>
      </w:r>
      <w:proofErr w:type="spellStart"/>
      <w:r>
        <w:t>colored</w:t>
      </w:r>
      <w:proofErr w:type="spellEnd"/>
      <w:r>
        <w:t xml:space="preserve"> boxes indicate the LI related functions are present in the respective NFs.</w:t>
      </w:r>
      <w:r w:rsidR="005930E8">
        <w:t xml:space="preserve"> Non-LI related enhancements will have to be made to N7, Rx, SMF, PCF</w:t>
      </w:r>
      <w:r>
        <w:t xml:space="preserve">, </w:t>
      </w:r>
      <w:r w:rsidR="005930E8">
        <w:t xml:space="preserve"> and LI specific enhancements will have to be made to the P-CSCF to support the media interception at the I-UPF. In the diagram, both UE (A) and UE (B) are the targets of interception. </w:t>
      </w:r>
    </w:p>
    <w:p w14:paraId="581FE105" w14:textId="55DEAA2C" w:rsidR="00A54D42" w:rsidRPr="00E9133F" w:rsidRDefault="00A54D4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lastRenderedPageBreak/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6F01BD3D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3D684299" w:rsidR="00EC6E56" w:rsidRDefault="00E9133F" w:rsidP="00EC6E56">
      <w:pPr>
        <w:pStyle w:val="B1"/>
      </w:pPr>
      <w:r w:rsidRPr="00E9133F"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inform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633816A0" w:rsidR="00E57BA2" w:rsidRDefault="00EC6E56" w:rsidP="00EC6E56">
      <w:pPr>
        <w:pStyle w:val="B1"/>
      </w:pPr>
      <w:r>
        <w:t xml:space="preserve">- </w:t>
      </w:r>
      <w:r>
        <w:tab/>
        <w:t xml:space="preserve">In reference to point 2, to inform SA3-LI that the suggested changes to </w:t>
      </w:r>
      <w:r w:rsidR="00BE2398">
        <w:t>RX</w:t>
      </w:r>
      <w:r>
        <w:t>, N7, SMF and PCF can be done for all IMS sessions irrespective LI.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1DF0EB48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WG2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0C803BC7" w14:textId="63670C53" w:rsidR="001E4857" w:rsidRPr="00E9133F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 w:rsidR="007D35A6"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7D35A6"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 w:rsidR="007D35A6"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 w:rsidR="007D35A6"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7D35A6">
        <w:rPr>
          <w:rFonts w:ascii="Arial" w:eastAsia="DengXian" w:hAnsi="Arial" w:cs="Arial"/>
          <w:bCs/>
          <w:lang w:eastAsia="zh-CN"/>
        </w:rPr>
        <w:t>Sophia Antipolis, FR</w:t>
      </w: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406AB" w14:textId="77777777" w:rsidR="00512050" w:rsidRDefault="00512050">
      <w:r>
        <w:separator/>
      </w:r>
    </w:p>
  </w:endnote>
  <w:endnote w:type="continuationSeparator" w:id="0">
    <w:p w14:paraId="2744FDCB" w14:textId="77777777" w:rsidR="00512050" w:rsidRDefault="00512050">
      <w:r>
        <w:continuationSeparator/>
      </w:r>
    </w:p>
  </w:endnote>
  <w:endnote w:type="continuationNotice" w:id="1">
    <w:p w14:paraId="67E59D86" w14:textId="77777777" w:rsidR="00512050" w:rsidRDefault="00512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F0ECB" w14:textId="77777777" w:rsidR="00512050" w:rsidRDefault="00512050">
      <w:r>
        <w:separator/>
      </w:r>
    </w:p>
  </w:footnote>
  <w:footnote w:type="continuationSeparator" w:id="0">
    <w:p w14:paraId="46EEB135" w14:textId="77777777" w:rsidR="00512050" w:rsidRDefault="00512050">
      <w:r>
        <w:continuationSeparator/>
      </w:r>
    </w:p>
  </w:footnote>
  <w:footnote w:type="continuationNotice" w:id="1">
    <w:p w14:paraId="7F355524" w14:textId="77777777" w:rsidR="00512050" w:rsidRDefault="005120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A002CE"/>
    <w:rsid w:val="00A0057B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796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4800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Nagaraja Rao (Nokia)</cp:lastModifiedBy>
  <cp:revision>6</cp:revision>
  <cp:lastPrinted>2002-04-23T06:10:00Z</cp:lastPrinted>
  <dcterms:created xsi:type="dcterms:W3CDTF">2024-09-23T17:15:00Z</dcterms:created>
  <dcterms:modified xsi:type="dcterms:W3CDTF">2024-10-11T22:25:00Z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